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3.png" ContentType="image/png"/>
  <Override PartName="/word/media/rId30.png" ContentType="image/png"/>
  <Override PartName="/word/media/rId27.png" ContentType="image/png"/>
  <Override PartName="/word/media/rId31.png" ContentType="image/png"/>
  <Override PartName="/word/media/rId35.png" ContentType="image/png"/>
  <Override PartName="/word/media/rId26.png" ContentType="image/png"/>
  <Override PartName="/word/media/rId45.png" ContentType="image/png"/>
  <Override PartName="/word/media/rId38.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
        </w:rPr>
        <w:t xml:space="preserve">word limit 200; this is currently 266</w:t>
      </w:r>
      <w:r>
        <w:t xml:space="preserve">)</w:t>
      </w:r>
    </w:p>
    <w:p>
      <w:pPr>
        <w:pStyle w:val="BodyText"/>
      </w:pPr>
      <w:r>
        <w:t xml:space="preserve">As the climate changes, warmer spring temperatures are causing earlier leaf-out in temperate deciduous forests, along with earlier initiation of the annual period where these ecosystems are net sinks of carbon dioxide (CO</w:t>
      </w:r>
      <w:r>
        <w:rPr>
          <w:vertAlign w:val="subscript"/>
        </w:rPr>
        <w:t xml:space="preserve">2</w:t>
      </w:r>
      <w:r>
        <w:t xml:space="preserve">).</w:t>
      </w:r>
      <w:r>
        <w:t xml:space="preserve"> </w:t>
      </w:r>
      <w:r>
        <w:t xml:space="preserve">As a result, there is a tendency towards increased growing season length and annual CO</w:t>
      </w:r>
      <w:r>
        <w:rPr>
          <w:vertAlign w:val="subscript"/>
        </w:rPr>
        <w:t xml:space="preserve">2</w:t>
      </w:r>
      <w:r>
        <w:t xml:space="preserve"> </w:t>
      </w:r>
      <w:r>
        <w:t xml:space="preserve">sequestration.</w:t>
      </w:r>
      <w:r>
        <w:t xml:space="preserve"> </w:t>
      </w:r>
      <w:r>
        <w:t xml:space="preserve">However, little is known about how spring temperatures affect tree stem growth, which consumes a modest portion of the carbon fixed annually but is critical in that wood has a long residence time in the ecosystem.</w:t>
      </w:r>
      <w:r>
        <w:t xml:space="preserve"> </w:t>
      </w:r>
      <w:r>
        <w:t xml:space="preserve">We need to know how the timing and rate of woody growth are affected by warming spring temperatures.</w:t>
      </w:r>
      <w:r>
        <w:t xml:space="preserve"> </w:t>
      </w:r>
      <w:r>
        <w:t xml:space="preserve">Here, we show that in two temperate deciduous forests warmer maximum temperatures in the spring shift growth milestones earlier in the year, but have only a modest effect on peak growing season length and little effect on annual growth.</w:t>
      </w:r>
      <w:r>
        <w:t xml:space="preserve"> </w:t>
      </w:r>
      <w:r>
        <w:t xml:space="preserve">This contrasts with the expectation</w:t>
      </w:r>
      <w:r>
        <w:t xml:space="preserve"> </w:t>
      </w:r>
      <w:r>
        <w:rPr>
          <w:i/>
        </w:rPr>
        <w:t xml:space="preserve">in most models</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It is, however, consistent with most tree-ring studies in temperate deciduous forests showing that annual growth tends to be more sensitive to climatic conditions during the peak growing season than in the spring</w:t>
      </w:r>
      <w:r>
        <w:rPr>
          <w:vertAlign w:val="superscript"/>
        </w:rPr>
        <w:t xml:space="preserve">1</w:t>
      </w:r>
      <w:r>
        <w:t xml:space="preserve">,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2</w:t>
      </w:r>
      <w:r>
        <w:t xml:space="preserve">, and with evidence that forest CO</w:t>
      </w:r>
      <w:r>
        <w:rPr>
          <w:vertAlign w:val="subscript"/>
        </w:rPr>
        <w:t xml:space="preserve">2</w:t>
      </w:r>
      <w:r>
        <w:t xml:space="preserve"> </w:t>
      </w:r>
      <w:r>
        <w:t xml:space="preserve">sequestration is sink-limited</w:t>
      </w:r>
      <w:r>
        <w:rPr>
          <w:vertAlign w:val="superscript"/>
        </w:rPr>
        <w:t xml:space="preserve">3</w:t>
      </w:r>
      <w:r>
        <w:t xml:space="preserve">.</w:t>
      </w:r>
      <w:r>
        <w:t xml:space="preserve"> </w:t>
      </w:r>
      <w:r>
        <w:t xml:space="preserve">Thus, our findings indicate that warming spring conditions are unlikely to impact temperate deciduous forest growth sufficiently to produce any substantial negative climate change feedback.</w:t>
      </w:r>
    </w:p>
    <w:p>
      <w:r>
        <w:br w:type="page"/>
      </w:r>
    </w:p>
    <w:bookmarkEnd w:id="21"/>
    <w:bookmarkStart w:id="29" w:name="introduction"/>
    <w:p>
      <w:pPr>
        <w:pStyle w:val="Heading1"/>
      </w:pPr>
      <w:r>
        <w:t xml:space="preserve">(Introduction)</w:t>
      </w:r>
    </w:p>
    <w:p>
      <w:pPr>
        <w:pStyle w:val="FirstParagraph"/>
      </w:pPr>
      <w:r>
        <w:t xml:space="preserve">(</w:t>
      </w:r>
      <w:r>
        <w:rPr>
          <w:i/>
        </w:rPr>
        <w:t xml:space="preserve">this will need to be shortened signficantly</w:t>
      </w:r>
      <w:r>
        <w:t xml:space="preserve">)</w:t>
      </w:r>
    </w:p>
    <w:bookmarkStart w:id="22"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4</w:t>
      </w:r>
      <w:r>
        <w:t xml:space="preserve"> </w:t>
      </w:r>
      <w:r>
        <w:t xml:space="preserve">However, their future under the current era of rapid change is uncertain.</w:t>
      </w:r>
      <w:r>
        <w:rPr>
          <w:vertAlign w:val="superscript"/>
        </w:rPr>
        <w:t xml:space="preserve">5</w:t>
      </w:r>
    </w:p>
    <w:p>
      <w:pPr>
        <w:pStyle w:val="BodyText"/>
      </w:pPr>
      <w:r>
        <w:t xml:space="preserve">Reducing this uncertainty requires better understanding of the drivers of tree growth.</w:t>
      </w:r>
      <w:r>
        <w:rPr>
          <w:b/>
          <w:vertAlign w:val="superscript"/>
        </w:rPr>
        <w:t xml:space="preserve">???</w:t>
      </w:r>
      <w:r>
        <w:t xml:space="preserve"> </w:t>
      </w:r>
      <w:r>
        <w:t xml:space="preserve">Tree growth is sensitive to climatic factors like precipitation, temperature, and cloudiness in early growing season;</w:t>
      </w:r>
      <w:r>
        <w:rPr>
          <w:vertAlign w:val="superscript"/>
        </w:rPr>
        <w:t xml:space="preserve">1</w:t>
      </w:r>
      <w:r>
        <w:t xml:space="preserve">;</w:t>
      </w:r>
      <w:r>
        <w:rPr>
          <w:b/>
          <w:vertAlign w:val="superscript"/>
        </w:rPr>
        <w:t xml:space="preserve">???</w:t>
      </w:r>
      <w:r>
        <w:t xml:space="preserve">,</w:t>
      </w:r>
      <w:r>
        <w:rPr>
          <w:b/>
          <w:vertAlign w:val="superscript"/>
        </w:rPr>
        <w:t xml:space="preserve">???</w:t>
      </w:r>
      <w:r>
        <w:t xml:space="preserve"> </w:t>
      </w:r>
      <w:r>
        <w:t xml:space="preserve">as well as other physical factors including nitrogen content of soil, increasing atmospheric CO</w:t>
      </w:r>
      <w:r>
        <w:rPr>
          <w:vertAlign w:val="subscript"/>
        </w:rPr>
        <w:t xml:space="preserve">2</w:t>
      </w:r>
      <w:r>
        <w:t xml:space="preserve">, deposition of atmospheric pollutants in acid rain,</w:t>
      </w:r>
      <w:r>
        <w:rPr>
          <w:vertAlign w:val="superscript"/>
        </w:rPr>
        <w:t xml:space="preserve">6</w:t>
      </w:r>
      <w:r>
        <w:t xml:space="preserve"> </w:t>
      </w:r>
      <w:r>
        <w:t xml:space="preserve">and invasion by pests or pathogens. Understanding how growth is influenced by these factors is essential for developing accurate models to inform forest managers and policy makers about the role of future forests in climate change mitigation efforts.</w:t>
      </w:r>
    </w:p>
    <w:bookmarkEnd w:id="22"/>
    <w:bookmarkStart w:id="23"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w:t>
      </w:r>
      <w:r>
        <w:rPr>
          <w:vertAlign w:val="superscript"/>
        </w:rPr>
        <w:t xml:space="preserve">7</w:t>
      </w:r>
      <w:r>
        <w:t xml:space="preserve">.</w:t>
      </w:r>
      <w:r>
        <w:rPr>
          <w:b/>
          <w:vertAlign w:val="superscript"/>
        </w:rPr>
        <w:t xml:space="preserve">???</w:t>
      </w:r>
      <w:r>
        <w:t xml:space="preserve"> </w:t>
      </w:r>
      <w:r>
        <w:t xml:space="preserve">The effects of this spring warming are most apparent when examining leaf phenology shifts,</w:t>
      </w:r>
      <w:r>
        <w:t xml:space="preserve"> </w:t>
      </w:r>
      <w:r>
        <w:rPr>
          <w:i/>
        </w:rPr>
        <w:t xml:space="preserve">which have been extensively studied (</w:t>
      </w:r>
      <w:r>
        <w:rPr>
          <w:vertAlign w:val="superscript"/>
          <w:i/>
        </w:rPr>
        <w:t xml:space="preserve">8</w:t>
      </w:r>
      <w:r>
        <w:rPr>
          <w:i/>
        </w:rPr>
        <w:t xml:space="preserve">;</w:t>
      </w:r>
      <w:r>
        <w:rPr>
          <w:vertAlign w:val="superscript"/>
          <w:i/>
        </w:rPr>
        <w:t xml:space="preserve">9</w:t>
      </w:r>
      <w:r>
        <w:rPr>
          <w:i/>
        </w:rPr>
        <w:t xml:space="preserve">), leading to many critical observations</w:t>
      </w:r>
      <w:r>
        <w:t xml:space="preserve">. For example, some regions have seen earlier leaf out in deciduous trees, which is often matched or exceeded by delays in leaf senescence timing, when springtime temperatures are above average;</w:t>
      </w:r>
      <w:r>
        <w:rPr>
          <w:vertAlign w:val="superscript"/>
        </w:rPr>
        <w:t xml:space="preserve">10</w:t>
      </w:r>
      <w:r>
        <w:t xml:space="preserve">11</w:t>
      </w:r>
      <w:r>
        <w:t xml:space="preserve">];</w:t>
      </w:r>
      <w:r>
        <w:t xml:space="preserve">12</w:t>
      </w:r>
      <w:r>
        <w:t xml:space="preserve">]. The emergence of leaves signals the beginning of carbon sequestration or in other words, the growing season of a tree. It is believed that the longer the tree has leaves - or as the growing season is extended - the net annual carbon sequestered will increase as well (</w:t>
      </w:r>
      <w:r>
        <w:rPr>
          <w:i/>
        </w:rPr>
        <w:t xml:space="preserve">i,e</w:t>
      </w:r>
      <w:r>
        <w:t xml:space="preserve">, net ecosystem exchange,</w:t>
      </w:r>
      <w:r>
        <w:t xml:space="preserve"> </w:t>
      </w:r>
      <m:oMath>
        <m:r>
          <m:t>N</m:t>
        </m:r>
        <m:r>
          <m:t>E</m:t>
        </m:r>
        <m:r>
          <m:t>E</m:t>
        </m:r>
      </m:oMath>
      <w:r>
        <w:t xml:space="preserve">;</w:t>
      </w:r>
      <w:r>
        <w:t xml:space="preserve"> </w:t>
      </w:r>
      <w:r>
        <w:t xml:space="preserve">13</w:t>
      </w:r>
      <w:r>
        <w:t xml:space="preserve">;</w:t>
      </w:r>
      <w:r>
        <w:t xml:space="preserve"> </w:t>
      </w:r>
      <w:r>
        <w:t xml:space="preserve">14</w:t>
      </w:r>
      <w:r>
        <w:t xml:space="preserve">;</w:t>
      </w:r>
      <w:r>
        <w:t xml:space="preserve"> </w:t>
      </w:r>
      <w:r>
        <w:t xml:space="preserve">15</w:t>
      </w:r>
      <w:r>
        <w:t xml:space="preserve">].)</w:t>
      </w:r>
    </w:p>
    <w:p>
      <w:pPr>
        <w:pStyle w:val="BodyText"/>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2,15</w:t>
      </w:r>
      <w:r>
        <w:t xml:space="preserve"> </w:t>
      </w:r>
      <w:r>
        <w:t xml:space="preserve">This implies that earlier leafout will lead to smaller increases in NEE than changes in other phenological traits like the maximum C uptake rate. This idea agrees with patterns seen in tree cores, where peak growing season climate was more influential than spring climate</w:t>
      </w:r>
      <w:r>
        <w:rPr>
          <w:vertAlign w:val="superscript"/>
        </w:rPr>
        <w:t xml:space="preserve">1</w:t>
      </w:r>
      <w:r>
        <w:t xml:space="preserve"> </w:t>
      </w:r>
      <w:r>
        <w:t xml:space="preserve">but many models still predict the extension of growing season will increase NEE. A paper by</w:t>
      </w:r>
      <w:r>
        <w:t xml:space="preserve"> </w:t>
      </w:r>
      <w:r>
        <w:t xml:space="preserve">3</w:t>
      </w:r>
      <w:r>
        <w:t xml:space="preserve"> </w:t>
      </w:r>
      <w:r>
        <w:t xml:space="preserve">found that earlier leaf out led to earlier leaf senescence within the deciduous trees in their study, reducing the ability of the trees to sequester significantly higher levels of C. Instead they posit that senescence is induced when seasonal carbon-sink capacity of the tree is reached, no matter how extended the potential growing season is. This result directly contradicts those previous predictions that warmer Spring temperatures and earlier leaf out will lead to drastically increased C sequestration.</w:t>
      </w:r>
    </w:p>
    <w:p>
      <w:pPr>
        <w:pStyle w:val="BodyText"/>
      </w:pPr>
      <w:r>
        <w:t xml:space="preserve">Thus, while it is increasingly clear that warming spring temperatures lengthen the growing season and modestly increase annual carbon sequestration, indirect observations of these effects - like those involving leaf phenology - are not enough to draw firm conclusions on the future of forests. Instead, direct observations of intraannual stem-growth should be compared between years with a variety of spring climate conditions so a clearer relationship between climate and stem-growth can be deciphered. Looking directly at the stem-growth is advantageous as it allows examination of individual trees as opposed to larger landscape scale patterns obtained through eddy-covariance or remote sensing studies. A direct, fine scale, individual based study would allow a look into the effect of warming springtime on stem-growth phenology and the related shifts in growing season length and</w:t>
      </w:r>
      <w:r>
        <w:t xml:space="preserve"> </w:t>
      </w:r>
      <m:oMath>
        <m:r>
          <m:t>N</m:t>
        </m:r>
        <m:r>
          <m:t>E</m:t>
        </m:r>
        <m:r>
          <m:t>E</m:t>
        </m:r>
      </m:oMath>
      <w:r>
        <w:t xml:space="preserve">.</w:t>
      </w:r>
    </w:p>
    <w:bookmarkEnd w:id="23"/>
    <w:bookmarkStart w:id="24"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signals that these trees are shifting their growth windows in response to increasing spring temperatures, but to date, very little research on the characteristics of stem-growth during this shift has been done.</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w:t>
      </w:r>
    </w:p>
    <w:p>
      <w:pPr>
        <w:pStyle w:val="BodyText"/>
      </w:pPr>
      <w:r>
        <w:t xml:space="preserve">Tree-ring records give some hints that warmer springs may increase annual growth (</w:t>
      </w:r>
      <w:r>
        <w:rPr>
          <w:b/>
          <w:vertAlign w:val="superscript"/>
        </w:rPr>
        <w:t xml:space="preserve">???</w:t>
      </w:r>
      <w:r>
        <w:t xml:space="preserve">; probably some more), but tree-rings tell us nothing about the timing of that growth. Similarly, large scale observations of leaf-phenolgy and eddy-covariance also hint that warmer springs increase annual growth but tell us little about the maximum C uptake rates, or interspecific differences in total carbon sequestered.</w:t>
      </w:r>
    </w:p>
    <w:bookmarkEnd w:id="24"/>
    <w:bookmarkStart w:id="25"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Interspecific variation of this sort likely stems from evolutionary differences and adaptations to local climates where these trees can be found. Ring-porous trees have large xylem cells which are prone to embolism during the winter. These cells are repaired before leaf development in the Spring, corresponding with an earlier initiaiton of stem-growth.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how this shift influences stem-growth timing and other phenological variables.</w:t>
      </w:r>
    </w:p>
    <w:bookmarkEnd w:id="25"/>
    <w:bookmarkStart w:id="28"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total annual growth (</w:t>
      </w:r>
      <m:oMath>
        <m:r>
          <m:t>Δ</m:t>
        </m:r>
        <m:r>
          <m:t>D</m:t>
        </m:r>
        <m:r>
          <m:t>B</m:t>
        </m:r>
        <m:r>
          <m:t>H</m:t>
        </m:r>
      </m:oMath>
      <w:r>
        <w:t xml:space="preserve">); and peak growing season length (</w:t>
      </w:r>
      <m:oMath>
        <m:r>
          <m:t>D</m:t>
        </m:r>
        <m:r>
          <m:t>O</m:t>
        </m:r>
        <m:sSub>
          <m:e>
            <m:r>
              <m:t>Y</m:t>
            </m:r>
          </m:e>
          <m:sub>
            <m:r>
              <m:t>75</m:t>
            </m:r>
          </m:sub>
        </m:sSub>
      </m:oMath>
      <w:r>
        <w:t xml:space="preserve">-</w:t>
      </w:r>
      <m:oMath>
        <m:r>
          <m:t>D</m:t>
        </m:r>
        <m:r>
          <m:t>O</m:t>
        </m:r>
        <m:sSub>
          <m:e>
            <m:r>
              <m:t>Y</m:t>
            </m:r>
          </m:e>
          <m:sub>
            <m:r>
              <m:t>25</m:t>
            </m:r>
          </m:sub>
        </m:sSub>
      </m:oMath>
      <w:r>
        <w:t xml:space="preserve">;</w:t>
      </w:r>
      <w:r>
        <w:t xml:space="preserve"> </w:t>
      </w:r>
      <m:oMath>
        <m:sSub>
          <m:e>
            <m:r>
              <m:t>L</m:t>
            </m:r>
          </m:e>
          <m:sub>
            <m:r>
              <m:t>p</m:t>
            </m:r>
            <m:r>
              <m:t>g</m:t>
            </m:r>
            <m:r>
              <m:t>s</m:t>
            </m:r>
          </m:sub>
        </m:sSub>
      </m:oMath>
      <w:r>
        <w:t xml:space="preserve">).</w:t>
      </w:r>
      <w:r>
        <w:rPr>
          <w:vertAlign w:val="superscript"/>
        </w:rPr>
        <w:t xml:space="preserve">16</w:t>
      </w:r>
      <w:r>
        <w:t xml:space="preserve"> </w:t>
      </w:r>
      <w:r>
        <w:t xml:space="preserve">We test the hypotheses that (1) warmer early springs result in earlier stem growth and a longer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6"/>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514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7"/>
                    <a:stretch>
                      <a:fillRect/>
                    </a:stretch>
                  </pic:blipFill>
                  <pic:spPr bwMode="auto">
                    <a:xfrm>
                      <a:off x="0" y="0"/>
                      <a:ext cx="5334000" cy="2351476"/>
                    </a:xfrm>
                    <a:prstGeom prst="rect">
                      <a:avLst/>
                    </a:prstGeom>
                    <a:noFill/>
                    <a:ln w="9525">
                      <a:noFill/>
                      <a:headEnd/>
                      <a:tailEnd/>
                    </a:ln>
                  </pic:spPr>
                </pic:pic>
              </a:graphicData>
            </a:graphic>
          </wp:inline>
        </w:drawing>
      </w:r>
    </w:p>
    <w:bookmarkEnd w:id="28"/>
    <w:bookmarkEnd w:id="29"/>
    <w:bookmarkStart w:id="40" w:name="results"/>
    <w:p>
      <w:pPr>
        <w:pStyle w:val="Heading1"/>
      </w:pPr>
      <w:r>
        <w:t xml:space="preserve">(Results)</w:t>
      </w:r>
    </w:p>
    <w:bookmarkStart w:id="32" w:name="phenological-patterns"/>
    <w:p>
      <w:pPr>
        <w:pStyle w:val="Heading2"/>
      </w:pPr>
      <w:r>
        <w:t xml:space="preserve">(Phenological patterns)</w:t>
      </w:r>
    </w:p>
    <w:p>
      <w:pPr>
        <w:pStyle w:val="FirstParagraph"/>
      </w:pPr>
      <w:r>
        <w:t xml:space="preserve">(</w:t>
      </w:r>
      <w:r>
        <w:rPr>
          <w:i/>
        </w:rPr>
        <w:t xml:space="preserve">most of this is too detailed for Nature</w:t>
      </w:r>
      <w:r>
        <w:t xml:space="preserve">)</w:t>
      </w:r>
    </w:p>
    <w:p>
      <w:pPr>
        <w:pStyle w:val="BodyText"/>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HIS FIGURE GOES TO SI.)"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 (THIS FIGURE GOES TO SI.)</w:t>
      </w:r>
    </w:p>
    <w:p>
      <w:pPr>
        <w:pStyle w:val="BodyText"/>
      </w:pPr>
      <w:r>
        <w:drawing>
          <wp:inline>
            <wp:extent cx="5334000" cy="2243773"/>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31"/>
                    <a:stretch>
                      <a:fillRect/>
                    </a:stretch>
                  </pic:blipFill>
                  <pic:spPr bwMode="auto">
                    <a:xfrm>
                      <a:off x="0" y="0"/>
                      <a:ext cx="5334000" cy="2243773"/>
                    </a:xfrm>
                    <a:prstGeom prst="rect">
                      <a:avLst/>
                    </a:prstGeom>
                    <a:noFill/>
                    <a:ln w="9525">
                      <a:noFill/>
                      <a:headEnd/>
                      <a:tailEnd/>
                    </a:ln>
                  </pic:spPr>
                </pic:pic>
              </a:graphicData>
            </a:graphic>
          </wp:inline>
        </w:drawing>
      </w:r>
    </w:p>
    <w:bookmarkEnd w:id="32"/>
    <w:bookmarkStart w:id="34"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5 at SCBI, May 13 at HF; diffuse-porous: June 4 at SCBI, June 14 at HF). Black circles indicate the critical T_{max}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33"/>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w:t>
      </w:r>
      <m:oMath>
        <m:r>
          <m:t>D</m:t>
        </m:r>
        <m:r>
          <m:t>O</m:t>
        </m:r>
        <m:sSub>
          <m:e>
            <m:r>
              <m:t>Y</m:t>
            </m:r>
          </m:e>
          <m:sub>
            <m:r>
              <m:t>25</m:t>
            </m:r>
          </m:sub>
        </m:sSub>
      </m:oMath>
      <w:r>
        <w:t xml:space="preserve">) and temperature in prior weeks for ring- and diffuse-porous trees at SCBI and Harvard Forest. Shown are matrices of linear coefficients of first-order linear regressions between temperature and</w:t>
      </w:r>
      <w:r>
        <w:t xml:space="preserve"> </w:t>
      </w:r>
      <m:oMath>
        <m:r>
          <m:t>D</m:t>
        </m:r>
        <m:r>
          <m:t>O</m:t>
        </m:r>
        <m:sSub>
          <m:e>
            <m:r>
              <m:t>Y</m:t>
            </m:r>
          </m:e>
          <m:sub>
            <m:r>
              <m:t>25</m:t>
            </m:r>
          </m:sub>
        </m:sSub>
      </m:oMath>
      <w:r>
        <w:t xml:space="preserve">, where Window Open and Window Close indicate number of weeks prior to</w:t>
      </w:r>
      <w:r>
        <w:t xml:space="preserve"> </w:t>
      </w:r>
      <m:oMath>
        <m:r>
          <m:t>D</m:t>
        </m:r>
        <m:r>
          <m:t>O</m:t>
        </m:r>
        <m:sSub>
          <m:e>
            <m:r>
              <m:t>Y</m:t>
            </m:r>
          </m:e>
          <m:sub>
            <m:r>
              <m:t>25</m:t>
            </m:r>
          </m:sub>
        </m:sSub>
      </m:oMath>
      <w:r>
        <w:t xml:space="preserve"> </w:t>
      </w:r>
      <w:r>
        <w:t xml:space="preserve">(ring-porous: May 5 at SCBI, May 13 at HF; diffuse-porous: June 4 at SCBI, June 14 at HF). Black circles indicate the critical</w:t>
      </w:r>
      <w:r>
        <w:t xml:space="preserve"> </w:t>
      </w:r>
      <m:oMath>
        <m:sSub>
          <m:e>
            <m:r>
              <m:t>T</m:t>
            </m:r>
          </m:e>
          <m:sub>
            <m:r>
              <m:t>m</m:t>
            </m:r>
            <m:r>
              <m:t>a</m:t>
            </m:r>
            <m:r>
              <m:t>x</m:t>
            </m:r>
          </m:sub>
        </m:sSub>
      </m:oMath>
      <w:r>
        <w:t xml:space="preserve"> </w:t>
      </w:r>
      <w:r>
        <w:t xml:space="preserve">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S1 - S2).</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34"/>
    <w:bookmarkStart w:id="37"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5"/>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5. Day of year where growth milestones were achieved at (a) the Smith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achieved at (a) the Smithonian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37"/>
    <w:bookmarkStart w:id="39"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6, S5).</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6).</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6.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STAYS,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STAYS,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S5).</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9"/>
    <w:bookmarkEnd w:id="40"/>
    <w:bookmarkStart w:id="42" w:name="discussion"/>
    <w:p>
      <w:pPr>
        <w:pStyle w:val="Heading1"/>
      </w:pPr>
      <w:r>
        <w:t xml:space="preserve">(Discussion)</w:t>
      </w:r>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growing period is generally shifting back in the season as the critical srping windows are warming, but having little, or negative effect on peak growing season duration. Maximum growth rates and total seasonal growth were virtually unchanged when this period warmed, but the Day of year where the maximum growth rate occured shitfed back almost in unison with the DOY_50. The lack of influence Spring TMAX exudes on total season growth 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(Table 1, Figs. 3-5).</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(Table 1, Fig. 4),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6).</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3- 5).</w:t>
      </w:r>
      <w:r>
        <w:t xml:space="preserve"> </w:t>
      </w:r>
      <w:r>
        <w:t xml:space="preserve">Yet, an earlier start to the growing season does not imply a longer growing season.</w:t>
      </w:r>
      <w:r>
        <w:rPr>
          <w:vertAlign w:val="superscript"/>
        </w:rPr>
        <w:t xml:space="preserve">3</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3</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rPr>
          <w:vertAlign w:val="superscript"/>
        </w:rPr>
        <w:t xml:space="preserve">3</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bookmarkStart w:id="41" w:name="cams-previous-content"/>
    <w:p>
      <w:pPr>
        <w:pStyle w:val="Heading2"/>
      </w:pPr>
      <w:r>
        <w:t xml:space="preserve">Cam’s previous content</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1"/>
    <w:bookmarkEnd w:id="42"/>
    <w:bookmarkStart w:id="43" w:name="content-to-incorporate"/>
    <w:p>
      <w:pPr>
        <w:pStyle w:val="Heading1"/>
      </w:pPr>
      <w:r>
        <w:t xml:space="preserve">(Content to incorporate)</w:t>
      </w:r>
    </w:p>
    <w:p>
      <w:pPr>
        <w:pStyle w:val="FirstParagraph"/>
      </w:pPr>
      <w:r>
        <w:t xml:space="preserve">new Science paper:</w:t>
      </w:r>
      <w:r>
        <w:t xml:space="preserve"> </w:t>
      </w:r>
      <w:r>
        <w:t xml:space="preserve">3</w:t>
      </w:r>
    </w:p>
    <w:p>
      <w:pPr>
        <w:pStyle w:val="BodyText"/>
      </w:pPr>
      <w:r>
        <w:t xml:space="preserve">17</w:t>
      </w:r>
    </w:p>
    <w:p>
      <w:pPr>
        <w:pStyle w:val="BodyText"/>
      </w:pPr>
      <w:r>
        <w:t xml:space="preserve">From Neil:</w:t>
      </w:r>
      <w:r>
        <w:t xml:space="preserve"> </w:t>
      </w:r>
      <w:r>
        <w:t xml:space="preserve">18</w:t>
      </w:r>
      <w:r>
        <w:t xml:space="preserve">,</w:t>
      </w:r>
      <w:r>
        <w:t xml:space="preserve"> </w:t>
      </w:r>
      <w:r>
        <w:t xml:space="preserve">19</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3"/>
    <w:bookmarkStart w:id="53" w:name="methods"/>
    <w:p>
      <w:pPr>
        <w:pStyle w:val="Heading1"/>
      </w:pPr>
      <w:r>
        <w:t xml:space="preserve">Methods</w:t>
      </w:r>
    </w:p>
    <w:bookmarkStart w:id="44"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44"/>
    <w:bookmarkStart w:id="50" w:name="data-collection-and-preparation"/>
    <w:p>
      <w:pPr>
        <w:pStyle w:val="Heading2"/>
      </w:pPr>
      <w:r>
        <w:t xml:space="preserve">Data collection and preparation</w:t>
      </w:r>
    </w:p>
    <w:bookmarkStart w:id="46"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249907"/>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45"/>
                    <a:stretch>
                      <a:fillRect/>
                    </a:stretch>
                  </pic:blipFill>
                  <pic:spPr bwMode="auto">
                    <a:xfrm>
                      <a:off x="0" y="0"/>
                      <a:ext cx="5334000" cy="4249907"/>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16</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16</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46"/>
    <w:bookmarkStart w:id="47"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20</w:t>
      </w:r>
      <w:r>
        <w:t xml:space="preserve"> </w:t>
      </w:r>
      <w:r>
        <w:t xml:space="preserve">and trees found newly dead in annual tree mortality in 2016 and 2017.</w:t>
      </w:r>
      <w:r>
        <w:rPr>
          <w:vertAlign w:val="superscript"/>
        </w:rPr>
        <w:t xml:space="preserve">1</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21,22</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23</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24</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21</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21</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47"/>
    <w:bookmarkStart w:id="49"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25</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8">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26</w:t>
      </w:r>
      <w:r>
        <w:t xml:space="preserve"> </w:t>
      </w:r>
      <w:r>
        <w:t xml:space="preserve">again via the ForestGEO Climate Data Portal v1.0.</w:t>
      </w:r>
      <w:r>
        <w:rPr>
          <w:vertAlign w:val="superscript"/>
        </w:rPr>
        <w:t xml:space="preserve">25</w:t>
      </w:r>
    </w:p>
    <w:bookmarkEnd w:id="49"/>
    <w:bookmarkEnd w:id="50"/>
    <w:bookmarkStart w:id="51"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27</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w:t>
      </w:r>
      <w:r>
        <w:t xml:space="preserve"> </w:t>
      </w:r>
      <w:r>
        <w:t xml:space="preserve">Determining the climate variables that most strongly control all parameters is beyond the scope of this analysis.</w:t>
      </w:r>
    </w:p>
    <w:bookmarkEnd w:id="51"/>
    <w:bookmarkStart w:id="52"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28</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bookmarkEnd w:id="52"/>
    <w:bookmarkEnd w:id="53"/>
    <w:bookmarkStart w:id="54"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54"/>
    <w:bookmarkStart w:id="55" w:name="author-contributions"/>
    <w:p>
      <w:pPr>
        <w:pStyle w:val="Heading1"/>
      </w:pPr>
      <w:r>
        <w:t xml:space="preserve">Author Contributions</w:t>
      </w:r>
    </w:p>
    <w:bookmarkEnd w:id="55"/>
    <w:bookmarkStart w:id="56" w:name="supporting-information"/>
    <w:p>
      <w:pPr>
        <w:pStyle w:val="Heading1"/>
      </w:pPr>
      <w:r>
        <w:t xml:space="preserve">Supporting Information</w:t>
      </w:r>
    </w:p>
    <w:p>
      <w:pPr>
        <w:pStyle w:val="FirstParagraph"/>
      </w:pPr>
      <w:r>
        <w:t xml:space="preserve">Table S1. Sample size by year (THIS TABLE GOES TO SI)</w:t>
      </w:r>
    </w:p>
    <w:p>
      <w:pPr>
        <w:pStyle w:val="BodyText"/>
      </w:pPr>
      <w:r>
        <w:t xml:space="preserve">Figure S1. 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Figure S2. 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Figure S3. 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Figure S4. Full climwin output for</w:t>
      </w:r>
      <w:r>
        <w:t xml:space="preserve"> </w:t>
      </w:r>
      <m:oMath>
        <m:r>
          <m:t>D</m:t>
        </m:r>
        <m:r>
          <m:t>O</m:t>
        </m:r>
        <m:sSub>
          <m:e>
            <m:r>
              <m:t>Y</m:t>
            </m:r>
          </m:e>
          <m:sub>
            <m:r>
              <m:t>25</m:t>
            </m:r>
          </m:sub>
        </m:sSub>
      </m:oMath>
      <w:r>
        <w:t xml:space="preserve"> </w:t>
      </w:r>
      <w:r>
        <w:t xml:space="preserve">for diffuse porous species at Harvard Forest.</w:t>
      </w:r>
    </w:p>
    <w:bookmarkEnd w:id="56"/>
    <w:bookmarkStart w:id="89" w:name="references"/>
    <w:p>
      <w:pPr>
        <w:pStyle w:val="Heading1"/>
      </w:pPr>
      <w:r>
        <w:t xml:space="preserve">References</w:t>
      </w:r>
    </w:p>
    <w:bookmarkStart w:id="88" w:name="refs"/>
    <w:bookmarkStart w:id="57" w:name="ref-helcoski_growing_2019"/>
    <w:p>
      <w:pPr>
        <w:pStyle w:val="Bibliography"/>
      </w:pPr>
      <w:r>
        <w:t xml:space="preserve">1.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57"/>
    <w:bookmarkStart w:id="58" w:name="ref-fu_maximum_2019"/>
    <w:p>
      <w:pPr>
        <w:pStyle w:val="Bibliography"/>
      </w:pPr>
      <w:r>
        <w:t xml:space="preserve">2.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8"/>
    <w:bookmarkStart w:id="59" w:name="ref-zani_increased_2020"/>
    <w:p>
      <w:pPr>
        <w:pStyle w:val="Bibliography"/>
      </w:pPr>
      <w:r>
        <w:t xml:space="preserve">3. Zani, D., Crowther, T. W., Mo, L., Renner, S. S. &amp; Zohner, C. M. Increased growing-season productivity drives earlier autumn leaf senescence in temperate trees. 7 (2020).</w:t>
      </w:r>
    </w:p>
    <w:bookmarkEnd w:id="59"/>
    <w:bookmarkStart w:id="60" w:name="ref-bonan_forests_2008"/>
    <w:p>
      <w:pPr>
        <w:pStyle w:val="Bibliography"/>
      </w:pPr>
      <w:r>
        <w:t xml:space="preserve">4.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60"/>
    <w:bookmarkStart w:id="61" w:name="ref-friedlingstein_climatecarbon_2006"/>
    <w:p>
      <w:pPr>
        <w:pStyle w:val="Bibliography"/>
      </w:pPr>
      <w:r>
        <w:t xml:space="preserve">5.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61"/>
    <w:bookmarkStart w:id="62" w:name="ref-mathias_disentangling_2018"/>
    <w:p>
      <w:pPr>
        <w:pStyle w:val="Bibliography"/>
      </w:pPr>
      <w:r>
        <w:t xml:space="preserve">6. Mathias, J. M. &amp; Thomas, R. B. Disentangling the effects of acidic air pollution, atmospheric CO2, and climate change on recent growth of red spruce trees in the Central Appalachian Mountains.</w:t>
      </w:r>
      <w:r>
        <w:t xml:space="preserve"> </w:t>
      </w:r>
      <w:r>
        <w:rPr>
          <w:i/>
        </w:rPr>
        <w:t xml:space="preserve">Global Change Biology</w:t>
      </w:r>
      <w:r>
        <w:t xml:space="preserve"> </w:t>
      </w:r>
      <w:r>
        <w:rPr>
          <w:b/>
        </w:rPr>
        <w:t xml:space="preserve">24</w:t>
      </w:r>
      <w:r>
        <w:t xml:space="preserve">, 3938–3953 (2018).</w:t>
      </w:r>
    </w:p>
    <w:bookmarkEnd w:id="62"/>
    <w:bookmarkStart w:id="63" w:name="ref-parmesan_globally_2003"/>
    <w:p>
      <w:pPr>
        <w:pStyle w:val="Bibliography"/>
      </w:pPr>
      <w:r>
        <w:t xml:space="preserve">7.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63"/>
    <w:bookmarkStart w:id="64" w:name="ref-way_tree_2011"/>
    <w:p>
      <w:pPr>
        <w:pStyle w:val="Bibliography"/>
      </w:pPr>
      <w:r>
        <w:t xml:space="preserve">8. Way, D. A. Tree phenology responses to warming: Spring forward, fall back?</w:t>
      </w:r>
      <w:r>
        <w:t xml:space="preserve"> </w:t>
      </w:r>
      <w:r>
        <w:rPr>
          <w:i/>
        </w:rPr>
        <w:t xml:space="preserve">Tree Physiology</w:t>
      </w:r>
      <w:r>
        <w:t xml:space="preserve"> </w:t>
      </w:r>
      <w:r>
        <w:rPr>
          <w:b/>
        </w:rPr>
        <w:t xml:space="preserve">31</w:t>
      </w:r>
      <w:r>
        <w:t xml:space="preserve">, 469–471 (2011).</w:t>
      </w:r>
    </w:p>
    <w:bookmarkEnd w:id="64"/>
    <w:bookmarkStart w:id="65" w:name="ref-klosterman_later_2018"/>
    <w:p>
      <w:pPr>
        <w:pStyle w:val="Bibliography"/>
      </w:pPr>
      <w:r>
        <w:t xml:space="preserve">9. Klosterman, S., Hufkens, K. &amp; Richardson, A. D. Later springs green-up faster: The relation between onset and completion of green-up in deciduous forests of North America.</w:t>
      </w:r>
      <w:r>
        <w:t xml:space="preserve"> </w:t>
      </w:r>
      <w:r>
        <w:rPr>
          <w:i/>
        </w:rPr>
        <w:t xml:space="preserve">International Journal of Biometeorology</w:t>
      </w:r>
      <w:r>
        <w:t xml:space="preserve"> </w:t>
      </w:r>
      <w:r>
        <w:rPr>
          <w:b/>
        </w:rPr>
        <w:t xml:space="preserve">62</w:t>
      </w:r>
      <w:r>
        <w:t xml:space="preserve">, 1645–1655 (2018).</w:t>
      </w:r>
    </w:p>
    <w:bookmarkEnd w:id="65"/>
    <w:bookmarkStart w:id="66" w:name="ref-ibanez_forecasting_2010"/>
    <w:p>
      <w:pPr>
        <w:pStyle w:val="Bibliography"/>
      </w:pPr>
      <w:r>
        <w:t xml:space="preserve">10.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66"/>
    <w:bookmarkStart w:id="67" w:name="ref-jeong_phenology_2011"/>
    <w:p>
      <w:pPr>
        <w:pStyle w:val="Bibliography"/>
      </w:pPr>
      <w:r>
        <w:t xml:space="preserve">11. Jeong, S.-J., Ho, C.-H., Gim, H.-J. &amp; Brown, M. E. Phenology shifts at start vs. End of growing season in temperate vegetation over the Northern Hemisphere for the period 1982.</w:t>
      </w:r>
      <w:r>
        <w:t xml:space="preserve"> </w:t>
      </w:r>
      <w:r>
        <w:rPr>
          <w:i/>
        </w:rPr>
        <w:t xml:space="preserve">Global Change Biology</w:t>
      </w:r>
      <w:r>
        <w:t xml:space="preserve"> </w:t>
      </w:r>
      <w:r>
        <w:rPr>
          <w:b/>
        </w:rPr>
        <w:t xml:space="preserve">17</w:t>
      </w:r>
      <w:r>
        <w:t xml:space="preserve">, 2385–2399 (2011).</w:t>
      </w:r>
    </w:p>
    <w:bookmarkEnd w:id="67"/>
    <w:bookmarkStart w:id="68" w:name="ref-crabbe_extreme_2016"/>
    <w:p>
      <w:pPr>
        <w:pStyle w:val="Bibliography"/>
      </w:pPr>
      <w:r>
        <w:t xml:space="preserve">12.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68"/>
    <w:bookmarkStart w:id="69" w:name="ref-churkina_spatial_2005"/>
    <w:p>
      <w:pPr>
        <w:pStyle w:val="Bibliography"/>
      </w:pPr>
      <w:r>
        <w:t xml:space="preserve">13.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69"/>
    <w:bookmarkStart w:id="70" w:name="ref-keenan_net_2014"/>
    <w:p>
      <w:pPr>
        <w:pStyle w:val="Bibliography"/>
      </w:pPr>
      <w:r>
        <w:t xml:space="preserve">14.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70"/>
    <w:bookmarkStart w:id="71" w:name="ref-zhou_explaining_2016"/>
    <w:p>
      <w:pPr>
        <w:pStyle w:val="Bibliography"/>
      </w:pPr>
      <w:r>
        <w:t xml:space="preserve">15.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71"/>
    <w:bookmarkStart w:id="72" w:name="ref-mcmahon_general_2015"/>
    <w:p>
      <w:pPr>
        <w:pStyle w:val="Bibliography"/>
      </w:pPr>
      <w:r>
        <w:t xml:space="preserve">16.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72"/>
    <w:bookmarkStart w:id="74" w:name="ref-delgado_differences_2020"/>
    <w:p>
      <w:pPr>
        <w:pStyle w:val="Bibliography"/>
      </w:pPr>
      <w:r>
        <w:t xml:space="preserve">17.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73">
        <w:r>
          <w:rPr>
            <w:rStyle w:val="Hyperlink"/>
          </w:rPr>
          <w:t xml:space="preserve">10.1073/pnas.2002713117</w:t>
        </w:r>
      </w:hyperlink>
      <w:r>
        <w:t xml:space="preserve">.</w:t>
      </w:r>
    </w:p>
    <w:bookmarkEnd w:id="74"/>
    <w:bookmarkStart w:id="75" w:name="ref-zhang_drought_2021"/>
    <w:p>
      <w:pPr>
        <w:pStyle w:val="Bibliography"/>
      </w:pPr>
      <w:r>
        <w:t xml:space="preserve">18.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75"/>
    <w:bookmarkStart w:id="76" w:name="ref-zhang_extended_2020"/>
    <w:p>
      <w:pPr>
        <w:pStyle w:val="Bibliography"/>
      </w:pPr>
      <w:r>
        <w:t xml:space="preserve">19.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76"/>
    <w:bookmarkStart w:id="77" w:name="ref-bourg_initial_2013"/>
    <w:p>
      <w:pPr>
        <w:pStyle w:val="Bibliography"/>
      </w:pPr>
      <w:r>
        <w:t xml:space="preserve">20.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77"/>
    <w:bookmarkStart w:id="78" w:name="ref-cook_time_1985"/>
    <w:p>
      <w:pPr>
        <w:pStyle w:val="Bibliography"/>
      </w:pPr>
      <w:r>
        <w:t xml:space="preserve">21. Cook, E. R. A Time Series Analysis Approach to Tree Ring Standardization. vol. PhD (University of Arizona, 1985).</w:t>
      </w:r>
    </w:p>
    <w:bookmarkEnd w:id="78"/>
    <w:bookmarkStart w:id="80" w:name="ref-cook_methods_1990"/>
    <w:p>
      <w:pPr>
        <w:pStyle w:val="Bibliography"/>
      </w:pPr>
      <w:r>
        <w:t xml:space="preserve">22.</w:t>
      </w:r>
      <w:r>
        <w:t xml:space="preserve"> </w:t>
      </w:r>
      <w:r>
        <w:rPr>
          <w:i/>
        </w:rPr>
        <w:t xml:space="preserve">Methods of Dendrochronology: Applications in the Environmental Sciences</w:t>
      </w:r>
      <w:r>
        <w:t xml:space="preserve">. (Springer Netherlands, 1990). doi:</w:t>
      </w:r>
      <w:hyperlink r:id="rId79">
        <w:r>
          <w:rPr>
            <w:rStyle w:val="Hyperlink"/>
          </w:rPr>
          <w:t xml:space="preserve">10.1007/978-94-015-7879-0</w:t>
        </w:r>
      </w:hyperlink>
      <w:r>
        <w:t xml:space="preserve">.</w:t>
      </w:r>
    </w:p>
    <w:bookmarkEnd w:id="80"/>
    <w:bookmarkStart w:id="81" w:name="ref-cook_calculating_1997"/>
    <w:p>
      <w:pPr>
        <w:pStyle w:val="Bibliography"/>
      </w:pPr>
      <w:r>
        <w:t xml:space="preserve">23.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81"/>
    <w:bookmarkStart w:id="82" w:name="ref-jones_estimating_1997"/>
    <w:p>
      <w:pPr>
        <w:pStyle w:val="Bibliography"/>
      </w:pPr>
      <w:r>
        <w:t xml:space="preserve">24.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82"/>
    <w:bookmarkStart w:id="84" w:name="X7472afe191c4e6f910d2bf0bfbf82e114a2f267"/>
    <w:p>
      <w:pPr>
        <w:pStyle w:val="Bibliography"/>
      </w:pPr>
      <w:r>
        <w:t xml:space="preserve">25. Anderson-Teixeira, K.</w:t>
      </w:r>
      <w:r>
        <w:t xml:space="preserve"> </w:t>
      </w:r>
      <w:r>
        <w:rPr>
          <w:i/>
        </w:rPr>
        <w:t xml:space="preserve">et al.</w:t>
      </w:r>
      <w:r>
        <w:t xml:space="preserve"> </w:t>
      </w:r>
      <w:r>
        <w:t xml:space="preserve">Forestgeo/Climate: Initial release. (2020) doi:</w:t>
      </w:r>
      <w:hyperlink r:id="rId83">
        <w:r>
          <w:rPr>
            <w:rStyle w:val="Hyperlink"/>
          </w:rPr>
          <w:t xml:space="preserve">10.5281/ZENODO.4041609</w:t>
        </w:r>
      </w:hyperlink>
      <w:r>
        <w:t xml:space="preserve">.</w:t>
      </w:r>
    </w:p>
    <w:bookmarkEnd w:id="84"/>
    <w:bookmarkStart w:id="85" w:name="ref-harris_version_2020"/>
    <w:p>
      <w:pPr>
        <w:pStyle w:val="Bibliography"/>
      </w:pPr>
      <w:r>
        <w:t xml:space="preserve">26.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85"/>
    <w:bookmarkStart w:id="86" w:name="ref-van_de_pol_identifying_2016"/>
    <w:p>
      <w:pPr>
        <w:pStyle w:val="Bibliography"/>
      </w:pPr>
      <w:r>
        <w:t xml:space="preserve">27.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86"/>
    <w:bookmarkStart w:id="87" w:name="ref-bates_fitting_2015"/>
    <w:p>
      <w:pPr>
        <w:pStyle w:val="Bibliography"/>
      </w:pPr>
      <w:r>
        <w:t xml:space="preserve">28.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87"/>
    <w:bookmarkEnd w:id="88"/>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8" Target="media/rId38.tiff" /><Relationship Type="http://schemas.openxmlformats.org/officeDocument/2006/relationships/hyperlink" Id="rId79" Target="https://doi.org/10.1007/978-94-015-7879-0" TargetMode="External" /><Relationship Type="http://schemas.openxmlformats.org/officeDocument/2006/relationships/hyperlink" Id="rId73" Target="https://doi.org/10.1073/pnas.2002713117" TargetMode="External" /><Relationship Type="http://schemas.openxmlformats.org/officeDocument/2006/relationships/hyperlink" Id="rId83" Target="https://doi.org/10.5281/ZENODO.4041609" TargetMode="External" /><Relationship Type="http://schemas.openxmlformats.org/officeDocument/2006/relationships/hyperlink" Id="rId48"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7/978-94-015-7879-0" TargetMode="External" /><Relationship Type="http://schemas.openxmlformats.org/officeDocument/2006/relationships/hyperlink" Id="rId73" Target="https://doi.org/10.1073/pnas.2002713117" TargetMode="External" /><Relationship Type="http://schemas.openxmlformats.org/officeDocument/2006/relationships/hyperlink" Id="rId83" Target="https://doi.org/10.5281/ZENODO.4041609" TargetMode="External" /><Relationship Type="http://schemas.openxmlformats.org/officeDocument/2006/relationships/hyperlink" Id="rId48"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2020-12-10T17:13:27Z</dcterms:created>
  <dcterms:modified xsi:type="dcterms:W3CDTF">2020-12-10T17:13:27Z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